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62F0F" w:rsidRDefault="00266D5C">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266D5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266D5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1" w:name="1"/>
      <w:bookmarkEnd w:id="1"/>
      <w:r w:rsidR="005A08E9">
        <w:rPr>
          <w:rFonts w:ascii="Tahoma" w:eastAsia="Times New Roman" w:hAnsi="Tahoma" w:cs="Tahoma"/>
          <w:b/>
          <w:sz w:val="18"/>
          <w:szCs w:val="18"/>
          <w:lang w:eastAsia="pl-PL"/>
        </w:rPr>
        <w:t xml:space="preserve"> Załącznik nr 7 do SIWZ</w:t>
      </w:r>
    </w:p>
    <w:p w:rsidR="00CE7ADA" w:rsidRDefault="00EE1A4C"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1</w:t>
      </w:r>
      <w:r w:rsidR="008A478A">
        <w:rPr>
          <w:rFonts w:ascii="Tahoma" w:eastAsia="Calibri" w:hAnsi="Tahoma" w:cs="Times New Roman"/>
          <w:b/>
          <w:sz w:val="18"/>
          <w:lang w:eastAsia="pl-PL"/>
        </w:rPr>
        <w:t>/SP70</w:t>
      </w:r>
      <w:r w:rsidR="00CE7ADA">
        <w:rPr>
          <w:rFonts w:ascii="Tahoma" w:eastAsia="Calibri" w:hAnsi="Tahoma" w:cs="Times New Roman"/>
          <w:b/>
          <w:sz w:val="18"/>
          <w:lang w:eastAsia="pl-PL"/>
        </w:rPr>
        <w:t>/2019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8A478A"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Szkoła Podstawowa nr 70</w:t>
      </w:r>
      <w:r w:rsidR="00C90950">
        <w:rPr>
          <w:rFonts w:ascii="Tahoma" w:eastAsia="Calibri" w:hAnsi="Tahoma" w:cs="Times New Roman"/>
          <w:sz w:val="18"/>
          <w:lang w:eastAsia="pl-PL"/>
        </w:rPr>
        <w:t xml:space="preserve"> </w:t>
      </w:r>
      <w:r w:rsidR="00C90950">
        <w:rPr>
          <w:rFonts w:ascii="Tahoma" w:hAnsi="Tahoma" w:cs="Tahoma"/>
          <w:sz w:val="18"/>
          <w:szCs w:val="18"/>
        </w:rPr>
        <w:t>im. St. Wyspiańskiego</w:t>
      </w:r>
      <w:r>
        <w:rPr>
          <w:rFonts w:ascii="Tahoma" w:eastAsia="Calibri" w:hAnsi="Tahoma" w:cs="Times New Roman"/>
          <w:sz w:val="18"/>
          <w:lang w:eastAsia="pl-PL"/>
        </w:rPr>
        <w:t>,  90-207</w:t>
      </w:r>
      <w:r w:rsidR="00CE7ADA">
        <w:rPr>
          <w:rFonts w:ascii="Tahoma" w:eastAsia="Calibri" w:hAnsi="Tahoma" w:cs="Times New Roman"/>
          <w:sz w:val="18"/>
          <w:lang w:eastAsia="pl-PL"/>
        </w:rPr>
        <w:t xml:space="preserve"> Łódź, ul. </w:t>
      </w:r>
      <w:r>
        <w:rPr>
          <w:rFonts w:ascii="Tahoma" w:eastAsia="Calibri" w:hAnsi="Tahoma" w:cs="Times New Roman"/>
          <w:sz w:val="18"/>
          <w:lang w:eastAsia="pl-PL"/>
        </w:rPr>
        <w:t>Rewolucji 1905r. 22</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8A478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 xml:space="preserve">Bogumiła </w:t>
      </w:r>
      <w:proofErr w:type="spellStart"/>
      <w:r>
        <w:rPr>
          <w:rFonts w:ascii="Tahoma" w:eastAsia="Calibri" w:hAnsi="Tahoma" w:cs="Times New Roman"/>
          <w:sz w:val="18"/>
          <w:lang w:eastAsia="pl-PL"/>
        </w:rPr>
        <w:t>Cichacz</w:t>
      </w:r>
      <w:proofErr w:type="spellEnd"/>
      <w:r w:rsidR="00D678B7">
        <w:rPr>
          <w:rFonts w:ascii="Tahoma" w:eastAsia="Calibri" w:hAnsi="Tahoma" w:cs="Times New Roman"/>
          <w:sz w:val="18"/>
          <w:lang w:eastAsia="pl-PL"/>
        </w:rPr>
        <w:t xml:space="preserve"> </w:t>
      </w:r>
      <w:r w:rsidR="00CE7ADA">
        <w:rPr>
          <w:rFonts w:ascii="Tahoma" w:eastAsia="Calibri" w:hAnsi="Tahoma" w:cs="Times New Roman"/>
          <w:sz w:val="18"/>
          <w:lang w:eastAsia="pl-PL"/>
        </w:rPr>
        <w:t xml:space="preserve">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CE7ADA" w:rsidRDefault="005A08E9" w:rsidP="00E51246">
      <w:pPr>
        <w:pStyle w:val="Akapitzlist"/>
        <w:numPr>
          <w:ilvl w:val="0"/>
          <w:numId w:val="42"/>
        </w:numPr>
        <w:autoSpaceDE w:val="0"/>
        <w:autoSpaceDN w:val="0"/>
        <w:adjustRightInd w:val="0"/>
        <w:spacing w:after="0" w:line="240" w:lineRule="auto"/>
        <w:ind w:left="357" w:hanging="357"/>
        <w:jc w:val="both"/>
        <w:rPr>
          <w:rFonts w:ascii="Tahoma" w:hAnsi="Tahoma" w:cs="Tahoma"/>
          <w:b/>
          <w:sz w:val="18"/>
          <w:szCs w:val="18"/>
        </w:rPr>
      </w:pPr>
      <w:r w:rsidRPr="00CE7ADA">
        <w:rPr>
          <w:rFonts w:ascii="Tahoma" w:eastAsia="Times New Roman" w:hAnsi="Tahoma" w:cs="Tahoma"/>
          <w:sz w:val="18"/>
          <w:szCs w:val="18"/>
          <w:lang w:eastAsia="pl-PL"/>
        </w:rPr>
        <w:t>Zamawiający zleca, a Wykonawca przyjmuje do wykonania</w:t>
      </w:r>
      <w:r w:rsidR="008A478A">
        <w:rPr>
          <w:rFonts w:ascii="Tahoma" w:eastAsia="Times New Roman" w:hAnsi="Tahoma" w:cs="Tahoma"/>
          <w:sz w:val="18"/>
          <w:szCs w:val="18"/>
          <w:lang w:eastAsia="pl-PL"/>
        </w:rPr>
        <w:t xml:space="preserve"> </w:t>
      </w:r>
      <w:r w:rsidR="008A478A" w:rsidRPr="008A478A">
        <w:rPr>
          <w:rFonts w:ascii="Tahoma" w:eastAsia="Times New Roman" w:hAnsi="Tahoma" w:cs="Tahoma"/>
          <w:b/>
          <w:sz w:val="18"/>
          <w:szCs w:val="18"/>
          <w:lang w:eastAsia="pl-PL"/>
        </w:rPr>
        <w:t>remont pomieszczeń piwnicznych w budynku Szkoły Podstawowej nr 70 w Łodzi</w:t>
      </w:r>
      <w:r w:rsidR="008A478A">
        <w:rPr>
          <w:rFonts w:ascii="Tahoma" w:eastAsia="Times New Roman" w:hAnsi="Tahoma" w:cs="Tahoma"/>
          <w:sz w:val="18"/>
          <w:szCs w:val="18"/>
          <w:lang w:eastAsia="pl-PL"/>
        </w:rPr>
        <w:t>.</w:t>
      </w:r>
    </w:p>
    <w:p w:rsidR="00462F0F" w:rsidRPr="00EE1A4C" w:rsidRDefault="005A08E9" w:rsidP="00EE1A4C">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EE1A4C" w:rsidRDefault="00EE1A4C" w:rsidP="00EE1A4C">
      <w:pPr>
        <w:spacing w:after="0" w:line="240" w:lineRule="auto"/>
        <w:jc w:val="both"/>
        <w:rPr>
          <w:rFonts w:ascii="Tahoma" w:eastAsia="Times New Roman" w:hAnsi="Tahoma" w:cs="Tahoma"/>
          <w:sz w:val="18"/>
          <w:szCs w:val="18"/>
          <w:lang w:eastAsia="pl-PL"/>
        </w:rPr>
      </w:pPr>
    </w:p>
    <w:p w:rsidR="00EE1A4C" w:rsidRDefault="00EE1A4C" w:rsidP="00EE1A4C">
      <w:pPr>
        <w:spacing w:after="0" w:line="240" w:lineRule="auto"/>
        <w:jc w:val="both"/>
        <w:rPr>
          <w:rFonts w:ascii="Tahoma" w:eastAsia="Times New Roman" w:hAnsi="Tahoma" w:cs="Tahoma"/>
          <w:sz w:val="18"/>
          <w:szCs w:val="18"/>
          <w:lang w:eastAsia="pl-PL"/>
        </w:rPr>
      </w:pPr>
    </w:p>
    <w:p w:rsidR="00327391" w:rsidRPr="00EE1A4C" w:rsidRDefault="00327391" w:rsidP="00EE1A4C">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Default="00CE7ADA" w:rsidP="00CE7ADA">
      <w:pPr>
        <w:pStyle w:val="Tretekstu"/>
        <w:spacing w:line="240" w:lineRule="auto"/>
        <w:ind w:left="720"/>
        <w:rPr>
          <w:rFonts w:ascii="Tahoma" w:hAnsi="Tahoma"/>
          <w:sz w:val="18"/>
        </w:rPr>
      </w:pPr>
      <w:r>
        <w:rPr>
          <w:rFonts w:ascii="Tahoma" w:hAnsi="Tahoma"/>
          <w:sz w:val="18"/>
        </w:rPr>
        <w:t xml:space="preserve">          Netto ………………………….. zł (słownie ………………………………………………….)</w:t>
      </w:r>
    </w:p>
    <w:p w:rsidR="00CE7ADA" w:rsidRDefault="00CE7ADA" w:rsidP="00CE7ADA">
      <w:pPr>
        <w:pStyle w:val="Tretekstu"/>
        <w:spacing w:line="240" w:lineRule="auto"/>
        <w:ind w:left="720"/>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 xml:space="preserve">           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 xml:space="preserve">Odbiorca: Szkoła  </w:t>
      </w:r>
      <w:r w:rsidR="00CE7ADA">
        <w:rPr>
          <w:rFonts w:ascii="Tahoma" w:eastAsia="Calibri" w:hAnsi="Tahoma" w:cs="Times New Roman"/>
          <w:sz w:val="18"/>
          <w:lang w:eastAsia="pl-PL"/>
        </w:rPr>
        <w:br/>
        <w:t xml:space="preserve"> </w:t>
      </w:r>
      <w:r w:rsidR="008A478A">
        <w:rPr>
          <w:rFonts w:ascii="Tahoma" w:eastAsia="Calibri" w:hAnsi="Tahoma" w:cs="Times New Roman"/>
          <w:sz w:val="18"/>
          <w:lang w:eastAsia="pl-PL"/>
        </w:rPr>
        <w:t xml:space="preserve">      Podstawowa nr 70,  90-207</w:t>
      </w:r>
      <w:r w:rsidR="00CE7ADA">
        <w:rPr>
          <w:rFonts w:ascii="Tahoma" w:eastAsia="Calibri" w:hAnsi="Tahoma" w:cs="Times New Roman"/>
          <w:sz w:val="18"/>
          <w:lang w:eastAsia="pl-PL"/>
        </w:rPr>
        <w:t xml:space="preserve"> Łódź, ul. </w:t>
      </w:r>
      <w:r w:rsidR="008A478A">
        <w:rPr>
          <w:rFonts w:ascii="Tahoma" w:eastAsia="Calibri" w:hAnsi="Tahoma" w:cs="Times New Roman"/>
          <w:sz w:val="18"/>
          <w:lang w:eastAsia="pl-PL"/>
        </w:rPr>
        <w:t>Rewolucji 1905r. 22</w:t>
      </w:r>
      <w:r w:rsidR="00CE7ADA">
        <w:rPr>
          <w:rFonts w:ascii="Calibri" w:eastAsia="Calibri" w:hAnsi="Calibri" w:cs="Times New Roman"/>
          <w:sz w:val="16"/>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EE1A4C" w:rsidRDefault="00EE1A4C" w:rsidP="005A08E9">
      <w:pPr>
        <w:spacing w:after="0" w:line="240" w:lineRule="auto"/>
        <w:jc w:val="both"/>
        <w:rPr>
          <w:rFonts w:ascii="Tahoma" w:eastAsia="Times New Roman" w:hAnsi="Tahoma" w:cs="Tahoma"/>
          <w:sz w:val="18"/>
          <w:szCs w:val="18"/>
          <w:lang w:eastAsia="pl-PL"/>
        </w:rPr>
      </w:pPr>
    </w:p>
    <w:p w:rsidR="00EE1A4C" w:rsidRDefault="00EE1A4C"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3" w:name="9"/>
      <w:bookmarkEnd w:id="3"/>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4" w:name="__DdeLink__526_1024513133"/>
      <w:r w:rsidRPr="004C5C25">
        <w:rPr>
          <w:rFonts w:ascii="Tahoma" w:eastAsia="Times New Roman" w:hAnsi="Tahoma" w:cs="Tahoma"/>
          <w:sz w:val="18"/>
          <w:szCs w:val="18"/>
          <w:lang w:eastAsia="pl-PL"/>
        </w:rPr>
        <w:t>wynagrodzenia brutto ustalonego w § 7 ust. 3 umowy</w:t>
      </w:r>
      <w:bookmarkEnd w:id="4"/>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CE7ADA" w:rsidRDefault="00CE7ADA">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EE1A4C" w:rsidRDefault="00EE1A4C">
      <w:pPr>
        <w:pStyle w:val="Akapitzlist"/>
        <w:spacing w:after="0" w:line="240" w:lineRule="auto"/>
        <w:rPr>
          <w:rFonts w:ascii="Tahoma" w:eastAsia="Times New Roman" w:hAnsi="Tahoma" w:cs="Tahoma"/>
          <w:sz w:val="18"/>
          <w:szCs w:val="18"/>
          <w:lang w:eastAsia="pl-PL"/>
        </w:rPr>
      </w:pPr>
    </w:p>
    <w:p w:rsidR="00EE1A4C" w:rsidRDefault="00EE1A4C">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CE7ADA" w:rsidRPr="00EE1A4C" w:rsidRDefault="002A6406" w:rsidP="00EE1A4C">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EE1A4C" w:rsidRPr="00EE1A4C" w:rsidRDefault="00EE1A4C" w:rsidP="00EE1A4C">
      <w:pPr>
        <w:spacing w:after="0" w:line="240" w:lineRule="auto"/>
        <w:jc w:val="both"/>
        <w:rPr>
          <w:rFonts w:ascii="Tahoma" w:eastAsia="Times New Roman" w:hAnsi="Tahoma" w:cs="Tahoma"/>
          <w:sz w:val="18"/>
          <w:szCs w:val="18"/>
          <w:lang w:eastAsia="pl-PL"/>
        </w:rPr>
      </w:pP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770B06" w:rsidRDefault="00770B06">
      <w:pPr>
        <w:rPr>
          <w:rFonts w:ascii="Tahoma" w:hAnsi="Tahoma" w:cs="Tahoma"/>
          <w:sz w:val="18"/>
          <w:szCs w:val="18"/>
        </w:rPr>
      </w:pPr>
    </w:p>
    <w:p w:rsidR="00770B06" w:rsidRDefault="00770B06">
      <w:pPr>
        <w:rPr>
          <w:rFonts w:ascii="Tahoma" w:hAnsi="Tahoma" w:cs="Tahoma"/>
          <w:sz w:val="18"/>
          <w:szCs w:val="18"/>
        </w:rPr>
      </w:pPr>
    </w:p>
    <w:p w:rsidR="00770B06" w:rsidRDefault="00770B06">
      <w:pPr>
        <w:rPr>
          <w:rFonts w:ascii="Tahoma" w:hAnsi="Tahoma" w:cs="Tahoma"/>
          <w:sz w:val="18"/>
          <w:szCs w:val="18"/>
        </w:rPr>
      </w:pPr>
    </w:p>
    <w:p w:rsidR="00770B06" w:rsidRDefault="00770B06">
      <w:pPr>
        <w:rPr>
          <w:rFonts w:ascii="Tahoma" w:hAnsi="Tahoma" w:cs="Tahoma"/>
          <w:sz w:val="18"/>
          <w:szCs w:val="18"/>
        </w:rPr>
      </w:pPr>
    </w:p>
    <w:p w:rsidR="00462F0F" w:rsidRDefault="00462F0F" w:rsidP="00E51246">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Akapitzlist1"/>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8A478A">
        <w:rPr>
          <w:rFonts w:ascii="Tahoma" w:hAnsi="Tahoma"/>
          <w:b/>
          <w:sz w:val="18"/>
          <w:lang w:eastAsia="pl-PL"/>
        </w:rPr>
        <w:t>Szkoła Podstawowa nr 70,  90-207</w:t>
      </w:r>
      <w:r w:rsidR="00E51246" w:rsidRPr="00E51246">
        <w:rPr>
          <w:rFonts w:ascii="Tahoma" w:hAnsi="Tahoma"/>
          <w:b/>
          <w:sz w:val="18"/>
          <w:lang w:eastAsia="pl-PL"/>
        </w:rPr>
        <w:t xml:space="preserve"> Łódź, ul. </w:t>
      </w:r>
      <w:r w:rsidR="00EE1A4C">
        <w:rPr>
          <w:rFonts w:ascii="Tahoma" w:hAnsi="Tahoma"/>
          <w:b/>
          <w:sz w:val="18"/>
          <w:lang w:eastAsia="pl-PL"/>
        </w:rPr>
        <w:t>R</w:t>
      </w:r>
      <w:r w:rsidR="008A478A">
        <w:rPr>
          <w:rFonts w:ascii="Tahoma" w:hAnsi="Tahoma"/>
          <w:b/>
          <w:sz w:val="18"/>
          <w:lang w:eastAsia="pl-PL"/>
        </w:rPr>
        <w:t>ewolucji 1905r. 22</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Pr>
          <w:rFonts w:ascii="Tahoma" w:hAnsi="Tahoma"/>
          <w:sz w:val="18"/>
          <w:lang w:eastAsia="pl-PL"/>
        </w:rPr>
        <w:t>728-11-61-140 ; Regon:000814547</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5A08E9">
      <w:pPr>
        <w:pStyle w:val="Akapitzlist"/>
        <w:numPr>
          <w:ilvl w:val="0"/>
          <w:numId w:val="19"/>
        </w:numPr>
        <w:ind w:left="426"/>
      </w:pPr>
      <w:r w:rsidRPr="00994386">
        <w:rPr>
          <w:rFonts w:ascii="Tahoma" w:eastAsia="Times New Roman" w:hAnsi="Tahoma" w:cs="Tahoma"/>
          <w:sz w:val="18"/>
          <w:szCs w:val="18"/>
          <w:lang w:eastAsia="pl-PL"/>
        </w:rPr>
        <w:t xml:space="preserve">Przedmiot umowy: </w:t>
      </w:r>
      <w:r w:rsidR="008A478A">
        <w:rPr>
          <w:rFonts w:ascii="Tahoma" w:hAnsi="Tahoma" w:cs="Tahoma"/>
          <w:sz w:val="16"/>
          <w:szCs w:val="16"/>
        </w:rPr>
        <w:t>na</w:t>
      </w:r>
      <w:r w:rsidR="008A478A">
        <w:rPr>
          <w:rFonts w:ascii="Tahoma" w:hAnsi="Tahoma" w:cs="Tahoma"/>
          <w:sz w:val="18"/>
          <w:szCs w:val="18"/>
        </w:rPr>
        <w:t xml:space="preserve"> </w:t>
      </w:r>
      <w:r w:rsidR="008A478A">
        <w:rPr>
          <w:rFonts w:ascii="Tahoma" w:hAnsi="Tahoma" w:cs="Tahoma"/>
          <w:b/>
          <w:sz w:val="16"/>
          <w:szCs w:val="16"/>
        </w:rPr>
        <w:t>remont pomieszczeń piwnicznych w budynku Szkoły Podstawowej nr 70 w Łodzi</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0F" w:rsidRDefault="002A6406">
    <w:pPr>
      <w:pStyle w:val="Stopka"/>
      <w:jc w:val="right"/>
    </w:pPr>
    <w:r>
      <w:rPr>
        <w:rStyle w:val="Numerstrony"/>
        <w:rFonts w:cs="Arial"/>
        <w:sz w:val="16"/>
        <w:szCs w:val="16"/>
      </w:rPr>
      <w:t xml:space="preserve">Strona </w:t>
    </w:r>
    <w:r w:rsidR="00266D5C" w:rsidRPr="00266D5C">
      <w:rPr>
        <w:rStyle w:val="Numerstrony"/>
        <w:rFonts w:cs="Arial"/>
        <w:sz w:val="16"/>
        <w:szCs w:val="16"/>
      </w:rPr>
      <w:fldChar w:fldCharType="begin"/>
    </w:r>
    <w:r>
      <w:instrText>PAGE</w:instrText>
    </w:r>
    <w:r w:rsidR="00266D5C">
      <w:fldChar w:fldCharType="separate"/>
    </w:r>
    <w:r w:rsidR="00C90950">
      <w:rPr>
        <w:noProof/>
      </w:rPr>
      <w:t>1</w:t>
    </w:r>
    <w:r w:rsidR="00266D5C">
      <w:fldChar w:fldCharType="end"/>
    </w:r>
    <w:r>
      <w:rPr>
        <w:rStyle w:val="Numerstrony"/>
        <w:rFonts w:cs="Arial"/>
        <w:sz w:val="16"/>
        <w:szCs w:val="16"/>
      </w:rPr>
      <w:t xml:space="preserve"> z </w:t>
    </w:r>
    <w:r w:rsidR="00266D5C" w:rsidRPr="00266D5C">
      <w:rPr>
        <w:rStyle w:val="Numerstrony"/>
        <w:rFonts w:cs="Arial"/>
        <w:sz w:val="16"/>
        <w:szCs w:val="16"/>
      </w:rPr>
      <w:fldChar w:fldCharType="begin"/>
    </w:r>
    <w:r>
      <w:instrText>NUMPAGES</w:instrText>
    </w:r>
    <w:r w:rsidR="00266D5C">
      <w:fldChar w:fldCharType="separate"/>
    </w:r>
    <w:r w:rsidR="00C90950">
      <w:rPr>
        <w:noProof/>
      </w:rPr>
      <w:t>11</w:t>
    </w:r>
    <w:r w:rsidR="00266D5C">
      <w:fldChar w:fldCharType="end"/>
    </w:r>
  </w:p>
  <w:p w:rsidR="00462F0F" w:rsidRDefault="00462F0F">
    <w:pPr>
      <w:pStyle w:val="Stopka"/>
    </w:pPr>
  </w:p>
  <w:p w:rsidR="00462F0F" w:rsidRDefault="00462F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F0F"/>
    <w:rsid w:val="000F379F"/>
    <w:rsid w:val="001521AE"/>
    <w:rsid w:val="00256997"/>
    <w:rsid w:val="00266D5C"/>
    <w:rsid w:val="002A615C"/>
    <w:rsid w:val="002A6406"/>
    <w:rsid w:val="00327391"/>
    <w:rsid w:val="00462F0F"/>
    <w:rsid w:val="004C5C25"/>
    <w:rsid w:val="005A08E9"/>
    <w:rsid w:val="00602DEC"/>
    <w:rsid w:val="0068257B"/>
    <w:rsid w:val="006B77EF"/>
    <w:rsid w:val="00770B06"/>
    <w:rsid w:val="008A478A"/>
    <w:rsid w:val="009F12EF"/>
    <w:rsid w:val="00AC0C46"/>
    <w:rsid w:val="00B417E8"/>
    <w:rsid w:val="00B8364C"/>
    <w:rsid w:val="00C90950"/>
    <w:rsid w:val="00CD3F09"/>
    <w:rsid w:val="00CE7ADA"/>
    <w:rsid w:val="00D678B7"/>
    <w:rsid w:val="00E51246"/>
    <w:rsid w:val="00EE1A4C"/>
    <w:rsid w:val="00FF4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Akapitzlist1">
    <w:name w:val="Akapit z listą1"/>
    <w:basedOn w:val="Normalny"/>
    <w:qFormat/>
    <w:rsid w:val="00E5124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FD0E-34E4-45C6-A8D0-21F2D817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6742</Words>
  <Characters>40455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Anna</cp:lastModifiedBy>
  <cp:revision>14</cp:revision>
  <cp:lastPrinted>2019-08-09T06:14:00Z</cp:lastPrinted>
  <dcterms:created xsi:type="dcterms:W3CDTF">2019-05-28T06:46:00Z</dcterms:created>
  <dcterms:modified xsi:type="dcterms:W3CDTF">2019-08-21T18:49:00Z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